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1B6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无锡市检研院新吴基地屋面检修钢梯制作与安装工程</w:t>
      </w:r>
    </w:p>
    <w:p w14:paraId="6FA9F0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工程量</w:t>
      </w:r>
      <w:r>
        <w:rPr>
          <w:rFonts w:hint="eastAsia" w:ascii="宋体" w:hAnsi="宋体" w:eastAsia="宋体" w:cs="宋体"/>
          <w:b/>
          <w:color w:val="auto"/>
          <w:sz w:val="30"/>
          <w:szCs w:val="30"/>
          <w:highlight w:val="none"/>
        </w:rPr>
        <w:t>清单编制说明</w:t>
      </w:r>
    </w:p>
    <w:p w14:paraId="081E7E34">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工程概况</w:t>
      </w:r>
    </w:p>
    <w:p w14:paraId="3027F1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无锡市检研院新吴基地屋面检修钢梯制作与安装工程，项目位于无锡市新吴区。</w:t>
      </w:r>
    </w:p>
    <w:p w14:paraId="33FF3639">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招标范围</w:t>
      </w:r>
    </w:p>
    <w:p w14:paraId="42202305">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无锡市检研院新吴基地屋面检修钢梯制作与安装工程</w:t>
      </w:r>
      <w:bookmarkStart w:id="1" w:name="_GoBack"/>
      <w:r>
        <w:rPr>
          <w:rFonts w:hint="eastAsia" w:ascii="宋体" w:hAnsi="宋体" w:eastAsia="宋体" w:cs="宋体"/>
          <w:color w:val="auto"/>
          <w:sz w:val="24"/>
          <w:szCs w:val="24"/>
          <w:highlight w:val="none"/>
          <w:lang w:val="en-US" w:eastAsia="zh-CN"/>
        </w:rPr>
        <w:t>包括混凝土坡道、钢柱、槽钢钢梁、钢板坡道、金属面油漆、栏杆等，详见工程量清单。</w:t>
      </w:r>
    </w:p>
    <w:bookmarkEnd w:id="1"/>
    <w:p w14:paraId="1ADD0409">
      <w:pPr>
        <w:keepNext w:val="0"/>
        <w:keepLines w:val="0"/>
        <w:pageBreakBefore w:val="0"/>
        <w:numPr>
          <w:ilvl w:val="0"/>
          <w:numId w:val="1"/>
        </w:numPr>
        <w:kinsoku/>
        <w:wordWrap/>
        <w:overflowPunct/>
        <w:topLinePunct w:val="0"/>
        <w:bidi w:val="0"/>
        <w:adjustRightInd/>
        <w:spacing w:line="48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工程量清单编制依据</w:t>
      </w:r>
      <w:bookmarkStart w:id="0" w:name="_Hlk37879437"/>
    </w:p>
    <w:p w14:paraId="23C8F348">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8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1)建设单位提供的施工图电子版</w:t>
      </w:r>
      <w:bookmarkEnd w:id="0"/>
      <w:r>
        <w:rPr>
          <w:rFonts w:hint="eastAsia" w:ascii="宋体" w:hAnsi="宋体" w:eastAsia="宋体" w:cs="宋体"/>
          <w:color w:val="auto"/>
          <w:sz w:val="24"/>
          <w:szCs w:val="24"/>
          <w:lang w:val="en-US" w:eastAsia="zh-CN"/>
        </w:rPr>
        <w:t>及工程量清单。</w:t>
      </w:r>
    </w:p>
    <w:p w14:paraId="0B5C86C8">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8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2)中华人民共和国建设部《建设工程工程量清单计价规范》（GB50500—</w:t>
      </w:r>
      <w:r>
        <w:rPr>
          <w:rFonts w:hint="eastAsia" w:ascii="宋体" w:hAnsi="宋体" w:eastAsia="宋体" w:cs="宋体"/>
          <w:sz w:val="24"/>
          <w:szCs w:val="24"/>
        </w:rPr>
        <w:t>2013）</w:t>
      </w:r>
      <w:r>
        <w:rPr>
          <w:rFonts w:hint="eastAsia" w:ascii="宋体" w:hAnsi="宋体" w:eastAsia="宋体" w:cs="宋体"/>
          <w:color w:val="auto"/>
          <w:sz w:val="24"/>
          <w:szCs w:val="24"/>
          <w:lang w:eastAsia="zh-CN"/>
        </w:rPr>
        <w:t>、</w:t>
      </w:r>
      <w:r>
        <w:rPr>
          <w:rFonts w:hint="eastAsia" w:ascii="宋体" w:hAnsi="宋体" w:eastAsia="宋体" w:cs="宋体"/>
          <w:sz w:val="24"/>
          <w:szCs w:val="24"/>
        </w:rPr>
        <w:t>《市政工程工程量计算规范》（GB50857-2013）</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《通用安装工程工程量计算规范》GB50856-2013、</w:t>
      </w:r>
      <w:r>
        <w:rPr>
          <w:rFonts w:hint="eastAsia" w:ascii="宋体" w:hAnsi="宋体" w:eastAsia="宋体" w:cs="宋体"/>
          <w:sz w:val="24"/>
          <w:szCs w:val="24"/>
        </w:rPr>
        <w:t>《园林绿化工程工程量计算规范》（GB 50858-2013）、《通用安装工程工程量计算规范》（GB50856-2013）</w:t>
      </w:r>
      <w:r>
        <w:rPr>
          <w:rFonts w:hint="eastAsia" w:ascii="宋体" w:hAnsi="宋体" w:eastAsia="宋体" w:cs="宋体"/>
          <w:color w:val="auto"/>
          <w:sz w:val="24"/>
          <w:szCs w:val="24"/>
          <w:lang w:val="en-US" w:eastAsia="zh-CN"/>
        </w:rPr>
        <w:t>及其他配套工程量计算规范；《建</w:t>
      </w:r>
      <w:r>
        <w:rPr>
          <w:rFonts w:hint="eastAsia" w:ascii="宋体" w:hAnsi="宋体" w:eastAsia="宋体" w:cs="宋体"/>
          <w:color w:val="auto"/>
          <w:sz w:val="24"/>
          <w:szCs w:val="24"/>
        </w:rPr>
        <w:t>筑面积计算规范》GBT-50353-2013</w:t>
      </w:r>
      <w:r>
        <w:rPr>
          <w:rFonts w:hint="eastAsia" w:ascii="宋体" w:hAnsi="宋体" w:eastAsia="宋体" w:cs="宋体"/>
          <w:color w:val="auto"/>
          <w:sz w:val="24"/>
          <w:szCs w:val="24"/>
          <w:lang w:eastAsia="zh-CN"/>
        </w:rPr>
        <w:t>、</w:t>
      </w:r>
      <w:r>
        <w:rPr>
          <w:rFonts w:hint="eastAsia" w:ascii="宋体" w:hAnsi="宋体" w:eastAsia="宋体" w:cs="宋体"/>
          <w:sz w:val="24"/>
          <w:szCs w:val="24"/>
        </w:rPr>
        <w:t>2014年《江苏省安装工程计价定额》、2014年《江苏省市政工程计价定额》</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《江苏省仿古建筑及园林工程计价表》（2007）等</w:t>
      </w:r>
      <w:r>
        <w:rPr>
          <w:rFonts w:hint="eastAsia" w:ascii="宋体" w:hAnsi="宋体" w:eastAsia="宋体" w:cs="宋体"/>
          <w:color w:val="auto"/>
          <w:sz w:val="24"/>
          <w:szCs w:val="24"/>
        </w:rPr>
        <w:t>及其他配套工程量计算规范。</w:t>
      </w:r>
    </w:p>
    <w:p w14:paraId="1B650913">
      <w:pPr>
        <w:keepNext w:val="0"/>
        <w:keepLines w:val="0"/>
        <w:pageBreakBefore w:val="0"/>
        <w:kinsoku/>
        <w:wordWrap/>
        <w:overflowPunct/>
        <w:topLinePunct w:val="0"/>
        <w:bidi w:val="0"/>
        <w:adjustRightInd/>
        <w:spacing w:line="48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3)本工程拟定的招标文件。</w:t>
      </w:r>
    </w:p>
    <w:p w14:paraId="088548B3">
      <w:pPr>
        <w:keepNext w:val="0"/>
        <w:keepLines w:val="0"/>
        <w:pageBreakBefore w:val="0"/>
        <w:kinsoku/>
        <w:wordWrap/>
        <w:overflowPunct/>
        <w:topLinePunct w:val="0"/>
        <w:bidi w:val="0"/>
        <w:adjustRightInd/>
        <w:spacing w:line="48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4)其他相关标准图集、现行预结算文件及江省无锡市住建局的有关文件。</w:t>
      </w:r>
    </w:p>
    <w:p w14:paraId="194AA7E4">
      <w:pPr>
        <w:keepNext w:val="0"/>
        <w:keepLines w:val="0"/>
        <w:pageBreakBefore w:val="0"/>
        <w:kinsoku/>
        <w:wordWrap/>
        <w:overflowPunct/>
        <w:topLinePunct w:val="0"/>
        <w:bidi w:val="0"/>
        <w:adjustRightIn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本工程质量、材料、施工等的特殊要求：详见招标文件。</w:t>
      </w:r>
    </w:p>
    <w:p w14:paraId="260911B1">
      <w:pPr>
        <w:keepNext w:val="0"/>
        <w:keepLines w:val="0"/>
        <w:pageBreakBefore w:val="0"/>
        <w:kinsoku/>
        <w:wordWrap/>
        <w:overflowPunct/>
        <w:topLinePunct w:val="0"/>
        <w:bidi w:val="0"/>
        <w:adjustRightInd/>
        <w:spacing w:line="48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招标人自行采购材料的名称、规格型号：无。</w:t>
      </w:r>
    </w:p>
    <w:p w14:paraId="50E1E1F1">
      <w:pPr>
        <w:keepNext w:val="0"/>
        <w:keepLines w:val="0"/>
        <w:pageBreakBefore w:val="0"/>
        <w:numPr>
          <w:ilvl w:val="0"/>
          <w:numId w:val="1"/>
        </w:numPr>
        <w:kinsoku/>
        <w:wordWrap/>
        <w:overflowPunct/>
        <w:topLinePunct w:val="0"/>
        <w:bidi w:val="0"/>
        <w:adjustRightInd/>
        <w:spacing w:line="48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暂列金额及暂估价</w:t>
      </w:r>
    </w:p>
    <w:p w14:paraId="7C00B1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1)暂列金额：</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lang w:val="en-US" w:eastAsia="zh-CN"/>
        </w:rPr>
        <w:t>。</w:t>
      </w:r>
    </w:p>
    <w:p w14:paraId="37187B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2)专业工程暂估价：</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lang w:val="en-US" w:eastAsia="zh-CN"/>
        </w:rPr>
        <w:t>。</w:t>
      </w:r>
    </w:p>
    <w:p w14:paraId="67A984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3)材料暂估价：</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lang w:val="en-US" w:eastAsia="zh-CN"/>
        </w:rPr>
        <w:t>。</w:t>
      </w:r>
    </w:p>
    <w:p w14:paraId="7A4F4FAB">
      <w:pPr>
        <w:keepNext w:val="0"/>
        <w:keepLines w:val="0"/>
        <w:pageBreakBefore w:val="0"/>
        <w:numPr>
          <w:ilvl w:val="0"/>
          <w:numId w:val="1"/>
        </w:numPr>
        <w:kinsoku/>
        <w:wordWrap/>
        <w:overflowPunct/>
        <w:topLinePunct w:val="0"/>
        <w:bidi w:val="0"/>
        <w:adjustRightInd/>
        <w:spacing w:line="48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关于工程量清单编制相关内容的说明</w:t>
      </w:r>
    </w:p>
    <w:p w14:paraId="7649E8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工程量清单所列的工程量为施工图预算量，作为投标报价的基础，付款时以由承包人计量、监理签证、跟踪审计复核、招标人核准的实际完成工作量为依据。本工程量清单应与投标须知、合同条件、合同协议条款、工程范围一起使用。</w:t>
      </w:r>
    </w:p>
    <w:p w14:paraId="130641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工程量清单凡未能注明做法或项目特征无法描述详细的清单项目按现行施工及验收规范、施工图纸及常规施工工艺施工并由投标单位自主报价。本工程量清单应与投标须知、合同条件、合同协议条款、工程范围和施工图纸一起使用。</w:t>
      </w:r>
    </w:p>
    <w:p w14:paraId="1A40B8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3)本工程竣工结算时的工程量计算应严格按照《建设工程工程量清单计价规范》(GB50500-2013)及苏建价【2014】448号文的工程量计算规则执行（项目特征有明确描述的除外）。</w:t>
      </w:r>
    </w:p>
    <w:p w14:paraId="5D6088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招标人设暂列金额及暂估价的，投标人投标报价时必须按招标人提供的暂列金额及暂估价报价，竣工结算时按有关规定结算。设暂列金额及暂估价的专业工程达到依法必须招标的标准时，须通过招标确定承包人。</w:t>
      </w:r>
    </w:p>
    <w:p w14:paraId="0DF007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5)中标单位自行装表支付水电费，故投标单位必须把水电费自行考虑在投标报价中。</w:t>
      </w:r>
    </w:p>
    <w:p w14:paraId="5352F4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6)各投标单位的最终报价必须包括完成本工程施工的所有费用在内。</w:t>
      </w:r>
    </w:p>
    <w:p w14:paraId="440F83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对招标文件（包括工程量清单的项目特征描述）有疑义的，应在招标文件规定的提疑时间内向招标人提出。招标完毕后招标人的答疑，可作为工程计量、计价的依据；招标人不再受理投标人提出的关于招标文件的异议。</w:t>
      </w:r>
    </w:p>
    <w:p w14:paraId="6597E7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对招标人所列的措施项目，投标人可根据工程实际与施工组织设计进行增补，但不应更改招标人已列措施项目。结算时，除工程变更引起施工方案改变外，承包人不得以招标工程措施项目清单缺项为由要求新增措施项目。 </w:t>
      </w:r>
    </w:p>
    <w:p w14:paraId="6C9D20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招标人对本工程部分设备、材料设置了推荐品牌（详见附件：主要设备、材料推荐品牌表），投标人投标报价时必须在招标人设置的推荐品牌中选择其中的某一品牌报价，且同一材料不可选多个品牌。投标人须在投标文件中列明采用的材料品牌，盖章后扫描上传至商务标中，未按品牌表要求选用主要材料或未能对招标文件作出实质性响应，作为无效投标予以否决。</w:t>
      </w:r>
    </w:p>
    <w:p w14:paraId="3305B2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10)其他说明</w:t>
      </w:r>
    </w:p>
    <w:p w14:paraId="42F27B89">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施工时发生的</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运输由投标单位自行考虑，施工运输路线经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确认后按规定向相关部门报备，所产生费用由投标单位自理。</w:t>
      </w:r>
      <w:r>
        <w:rPr>
          <w:rFonts w:hint="eastAsia" w:ascii="宋体" w:hAnsi="宋体" w:eastAsia="宋体" w:cs="宋体"/>
          <w:color w:val="auto"/>
          <w:sz w:val="24"/>
          <w:szCs w:val="24"/>
        </w:rPr>
        <w:t>施工土石方运输（包括场内短驳、弃方或购置土方）由投标人自行组织，合理调配。发包人不另行提供土源或弃土点，由投标人自行现场踏勘，将土源点、弃土点、弃土堆场费、环保处理费、生活垃圾及泥浆的处置费等可能发生的所有费用考虑在报价中。</w:t>
      </w:r>
    </w:p>
    <w:p w14:paraId="4974594A">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检验检测费用：</w:t>
      </w:r>
      <w:r>
        <w:rPr>
          <w:rFonts w:hint="eastAsia" w:ascii="宋体" w:hAnsi="宋体" w:eastAsia="宋体" w:cs="宋体"/>
          <w:color w:val="auto"/>
          <w:sz w:val="24"/>
          <w:szCs w:val="24"/>
        </w:rPr>
        <w:t>检验试验费的结算按2014版《江苏省建设工程费用定额》执行。</w:t>
      </w:r>
    </w:p>
    <w:p w14:paraId="619DB445">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10.3</w:t>
      </w:r>
      <w:r>
        <w:rPr>
          <w:rFonts w:hint="eastAsia" w:ascii="宋体" w:hAnsi="宋体" w:eastAsia="宋体" w:cs="宋体"/>
          <w:color w:val="auto"/>
          <w:sz w:val="24"/>
          <w:szCs w:val="24"/>
          <w:highlight w:val="none"/>
        </w:rPr>
        <w:t>材料设备要求：</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有品牌要求的材料，施工前</w:t>
      </w:r>
      <w:r>
        <w:rPr>
          <w:rFonts w:hint="eastAsia" w:ascii="宋体" w:hAnsi="宋体" w:eastAsia="宋体" w:cs="宋体"/>
          <w:color w:val="auto"/>
          <w:sz w:val="24"/>
          <w:szCs w:val="24"/>
          <w:highlight w:val="none"/>
          <w:lang w:val="en-US" w:eastAsia="zh-CN"/>
        </w:rPr>
        <w:t>投标单位应</w:t>
      </w:r>
      <w:r>
        <w:rPr>
          <w:rFonts w:hint="eastAsia" w:ascii="宋体" w:hAnsi="宋体" w:eastAsia="宋体" w:cs="宋体"/>
          <w:color w:val="auto"/>
          <w:sz w:val="24"/>
          <w:szCs w:val="24"/>
          <w:highlight w:val="none"/>
        </w:rPr>
        <w:t>根据投标文件中采用的品牌送样，品种、样式、颜色、质量等均需符合设计要求。如遇特殊情况，招标人有权指定使用推荐品牌中的任一品牌及型号，中标人不得对中标的综合单价再做调整。本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未设置品牌的材料施工前需经招标人确认。施工阶段承包人采购的材料设备，施工前均须提供封样进行比对，经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确认后方可批量采购进场施工</w:t>
      </w:r>
      <w:r>
        <w:rPr>
          <w:rFonts w:hint="eastAsia" w:ascii="宋体" w:hAnsi="宋体" w:eastAsia="宋体" w:cs="宋体"/>
          <w:color w:val="auto"/>
          <w:sz w:val="24"/>
          <w:szCs w:val="24"/>
          <w:highlight w:val="none"/>
          <w:lang w:eastAsia="zh-CN"/>
        </w:rPr>
        <w:t>。</w:t>
      </w:r>
    </w:p>
    <w:p w14:paraId="70A3CC12">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投标单位报价时应充分考虑图纸设计</w:t>
      </w:r>
      <w:r>
        <w:rPr>
          <w:rFonts w:hint="eastAsia" w:ascii="宋体" w:hAnsi="宋体" w:eastAsia="宋体" w:cs="宋体"/>
          <w:color w:val="auto"/>
          <w:sz w:val="24"/>
          <w:szCs w:val="24"/>
          <w:highlight w:val="none"/>
          <w:lang w:val="en-US" w:eastAsia="zh-CN"/>
        </w:rPr>
        <w:t>及招标人</w:t>
      </w:r>
      <w:r>
        <w:rPr>
          <w:rFonts w:hint="eastAsia" w:ascii="宋体" w:hAnsi="宋体" w:eastAsia="宋体" w:cs="宋体"/>
          <w:color w:val="auto"/>
          <w:sz w:val="24"/>
          <w:szCs w:val="24"/>
          <w:highlight w:val="none"/>
        </w:rPr>
        <w:t>关于色彩的要求，施工阶段由设计</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等相关人员确定，综合单价不变。</w:t>
      </w:r>
    </w:p>
    <w:p w14:paraId="702A6933">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10.5</w:t>
      </w:r>
      <w:r>
        <w:rPr>
          <w:rFonts w:hint="eastAsia" w:ascii="宋体" w:hAnsi="宋体" w:eastAsia="宋体" w:cs="宋体"/>
          <w:color w:val="auto"/>
          <w:sz w:val="24"/>
          <w:szCs w:val="24"/>
        </w:rPr>
        <w:t>安全文明施工要求：符合无锡市有关施工现场的文明卫生要求。建设期间有新的文明施工标准，按新标准执行，拆、移、改等费用均由承包人自行</w:t>
      </w:r>
      <w:r>
        <w:rPr>
          <w:rFonts w:hint="eastAsia" w:ascii="宋体" w:hAnsi="宋体" w:eastAsia="宋体" w:cs="宋体"/>
          <w:color w:val="auto"/>
          <w:sz w:val="24"/>
          <w:szCs w:val="24"/>
          <w:highlight w:val="none"/>
        </w:rPr>
        <w:t>解决，费用自理。</w:t>
      </w:r>
    </w:p>
    <w:p w14:paraId="3C2EC2B6">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本工程智慧工地费用</w:t>
      </w:r>
      <w:r>
        <w:rPr>
          <w:rFonts w:hint="eastAsia" w:ascii="宋体" w:hAnsi="宋体" w:eastAsia="宋体" w:cs="宋体"/>
          <w:color w:val="auto"/>
          <w:sz w:val="24"/>
          <w:szCs w:val="24"/>
          <w:highlight w:val="none"/>
          <w:lang w:val="en-US" w:eastAsia="zh-CN"/>
        </w:rPr>
        <w:t>未计取</w:t>
      </w:r>
      <w:r>
        <w:rPr>
          <w:rFonts w:hint="eastAsia" w:ascii="宋体" w:hAnsi="宋体" w:eastAsia="宋体" w:cs="宋体"/>
          <w:color w:val="auto"/>
          <w:sz w:val="24"/>
          <w:szCs w:val="24"/>
          <w:highlight w:val="none"/>
        </w:rPr>
        <w:t>，结算时，按投标人所报智慧工地费用取费费率计取。现场施工应符合《关于推进建筑工地智慧监管工作的通知》（锡建质安〔2020〕21号）文件要求。</w:t>
      </w:r>
    </w:p>
    <w:p w14:paraId="692BD0EF">
      <w:pPr>
        <w:keepNext w:val="0"/>
        <w:keepLines w:val="0"/>
        <w:pageBreakBefore w:val="0"/>
        <w:numPr>
          <w:ilvl w:val="0"/>
          <w:numId w:val="0"/>
        </w:numPr>
        <w:kinsoku/>
        <w:wordWrap/>
        <w:overflowPunct/>
        <w:topLinePunct w:val="0"/>
        <w:bidi w:val="0"/>
        <w:adjustRightInd/>
        <w:spacing w:line="48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本项目未考虑加固措施施工等费用。</w:t>
      </w:r>
    </w:p>
    <w:p w14:paraId="4888186E">
      <w:pPr>
        <w:keepNext w:val="0"/>
        <w:keepLines w:val="0"/>
        <w:pageBreakBefore w:val="0"/>
        <w:numPr>
          <w:ilvl w:val="0"/>
          <w:numId w:val="1"/>
        </w:numPr>
        <w:kinsoku/>
        <w:wordWrap/>
        <w:overflowPunct/>
        <w:topLinePunct w:val="0"/>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投标人不得将下列不可竞争费用降低标准计取：（结算时根据有关规</w:t>
      </w:r>
    </w:p>
    <w:p w14:paraId="369B012B">
      <w:pPr>
        <w:keepNext w:val="0"/>
        <w:keepLines w:val="0"/>
        <w:pageBreakBefore w:val="0"/>
        <w:numPr>
          <w:ilvl w:val="0"/>
          <w:numId w:val="0"/>
        </w:numPr>
        <w:kinsoku/>
        <w:wordWrap/>
        <w:overflowPunct/>
        <w:topLinePunct w:val="0"/>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定按照不同类别调整）</w:t>
      </w:r>
    </w:p>
    <w:p w14:paraId="1EE1C834">
      <w:pPr>
        <w:pStyle w:val="2"/>
        <w:rPr>
          <w:rFonts w:hint="eastAsia"/>
        </w:rPr>
      </w:pPr>
    </w:p>
    <w:tbl>
      <w:tblPr>
        <w:tblStyle w:val="13"/>
        <w:tblpPr w:leftFromText="180" w:rightFromText="180" w:vertAnchor="text" w:horzAnchor="page" w:tblpX="2017" w:tblpY="173"/>
        <w:tblOverlap w:val="never"/>
        <w:tblW w:w="8575" w:type="dxa"/>
        <w:tblInd w:w="0" w:type="dxa"/>
        <w:tblLayout w:type="fixed"/>
        <w:tblCellMar>
          <w:top w:w="0" w:type="dxa"/>
          <w:left w:w="108" w:type="dxa"/>
          <w:bottom w:w="0" w:type="dxa"/>
          <w:right w:w="108" w:type="dxa"/>
        </w:tblCellMar>
      </w:tblPr>
      <w:tblGrid>
        <w:gridCol w:w="1187"/>
        <w:gridCol w:w="600"/>
        <w:gridCol w:w="938"/>
        <w:gridCol w:w="962"/>
        <w:gridCol w:w="963"/>
        <w:gridCol w:w="962"/>
        <w:gridCol w:w="998"/>
        <w:gridCol w:w="1965"/>
      </w:tblGrid>
      <w:tr w14:paraId="1A44EAA8">
        <w:tblPrEx>
          <w:tblCellMar>
            <w:top w:w="0" w:type="dxa"/>
            <w:left w:w="108" w:type="dxa"/>
            <w:bottom w:w="0" w:type="dxa"/>
            <w:right w:w="108" w:type="dxa"/>
          </w:tblCellMar>
        </w:tblPrEx>
        <w:trPr>
          <w:trHeight w:val="351" w:hRule="atLeast"/>
        </w:trPr>
        <w:tc>
          <w:tcPr>
            <w:tcW w:w="1187" w:type="dxa"/>
            <w:tcBorders>
              <w:top w:val="single" w:color="auto" w:sz="8" w:space="0"/>
              <w:left w:val="single" w:color="auto" w:sz="8" w:space="0"/>
              <w:bottom w:val="single" w:color="auto" w:sz="4" w:space="0"/>
              <w:right w:val="single" w:color="auto" w:sz="4" w:space="0"/>
            </w:tcBorders>
            <w:noWrap w:val="0"/>
            <w:vAlign w:val="center"/>
          </w:tcPr>
          <w:p w14:paraId="385B4078">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00" w:type="dxa"/>
            <w:gridSpan w:val="3"/>
            <w:tcBorders>
              <w:top w:val="single" w:color="auto" w:sz="8" w:space="0"/>
              <w:left w:val="nil"/>
              <w:bottom w:val="single" w:color="auto" w:sz="4" w:space="0"/>
              <w:right w:val="single" w:color="auto" w:sz="4" w:space="0"/>
            </w:tcBorders>
            <w:noWrap w:val="0"/>
            <w:vAlign w:val="center"/>
          </w:tcPr>
          <w:p w14:paraId="0B39D609">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2923" w:type="dxa"/>
            <w:gridSpan w:val="3"/>
            <w:tcBorders>
              <w:top w:val="single" w:color="auto" w:sz="8" w:space="0"/>
              <w:left w:val="nil"/>
              <w:bottom w:val="single" w:color="auto" w:sz="4" w:space="0"/>
              <w:right w:val="single" w:color="auto" w:sz="4" w:space="0"/>
            </w:tcBorders>
            <w:noWrap w:val="0"/>
            <w:vAlign w:val="center"/>
          </w:tcPr>
          <w:p w14:paraId="71C2B85C">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1965" w:type="dxa"/>
            <w:tcBorders>
              <w:top w:val="single" w:color="auto" w:sz="8" w:space="0"/>
              <w:left w:val="nil"/>
              <w:bottom w:val="single" w:color="auto" w:sz="4" w:space="0"/>
              <w:right w:val="single" w:color="auto" w:sz="8" w:space="0"/>
            </w:tcBorders>
            <w:noWrap w:val="0"/>
            <w:vAlign w:val="center"/>
          </w:tcPr>
          <w:p w14:paraId="39DF4A69">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p>
        </w:tc>
      </w:tr>
      <w:tr w14:paraId="3CC1BA91">
        <w:tblPrEx>
          <w:tblCellMar>
            <w:top w:w="0" w:type="dxa"/>
            <w:left w:w="108" w:type="dxa"/>
            <w:bottom w:w="0" w:type="dxa"/>
            <w:right w:w="108" w:type="dxa"/>
          </w:tblCellMar>
        </w:tblPrEx>
        <w:trPr>
          <w:trHeight w:val="390" w:hRule="atLeast"/>
        </w:trPr>
        <w:tc>
          <w:tcPr>
            <w:tcW w:w="1187" w:type="dxa"/>
            <w:vMerge w:val="restart"/>
            <w:tcBorders>
              <w:top w:val="nil"/>
              <w:left w:val="single" w:color="auto" w:sz="8" w:space="0"/>
              <w:bottom w:val="single" w:color="000000" w:sz="4" w:space="0"/>
              <w:right w:val="single" w:color="auto" w:sz="4" w:space="0"/>
            </w:tcBorders>
            <w:noWrap w:val="0"/>
            <w:vAlign w:val="center"/>
          </w:tcPr>
          <w:p w14:paraId="2A54835D">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费用名称</w:t>
            </w:r>
          </w:p>
        </w:tc>
        <w:tc>
          <w:tcPr>
            <w:tcW w:w="2500" w:type="dxa"/>
            <w:gridSpan w:val="3"/>
            <w:tcBorders>
              <w:top w:val="single" w:color="auto" w:sz="4" w:space="0"/>
              <w:left w:val="nil"/>
              <w:bottom w:val="single" w:color="auto" w:sz="4" w:space="0"/>
              <w:right w:val="single" w:color="auto" w:sz="4" w:space="0"/>
            </w:tcBorders>
            <w:noWrap w:val="0"/>
            <w:vAlign w:val="center"/>
          </w:tcPr>
          <w:p w14:paraId="1721E4F5">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现场安全文明施工费</w:t>
            </w:r>
          </w:p>
        </w:tc>
        <w:tc>
          <w:tcPr>
            <w:tcW w:w="2923" w:type="dxa"/>
            <w:gridSpan w:val="3"/>
            <w:tcBorders>
              <w:top w:val="single" w:color="auto" w:sz="4" w:space="0"/>
              <w:left w:val="nil"/>
              <w:bottom w:val="single" w:color="auto" w:sz="4" w:space="0"/>
              <w:right w:val="single" w:color="auto" w:sz="4" w:space="0"/>
            </w:tcBorders>
            <w:noWrap w:val="0"/>
            <w:vAlign w:val="center"/>
          </w:tcPr>
          <w:p w14:paraId="3F483FDD">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规费</w:t>
            </w:r>
          </w:p>
        </w:tc>
        <w:tc>
          <w:tcPr>
            <w:tcW w:w="1965" w:type="dxa"/>
            <w:vMerge w:val="restart"/>
            <w:tcBorders>
              <w:top w:val="nil"/>
              <w:left w:val="single" w:color="auto" w:sz="4" w:space="0"/>
              <w:bottom w:val="single" w:color="auto" w:sz="4" w:space="0"/>
              <w:right w:val="single" w:color="auto" w:sz="8" w:space="0"/>
            </w:tcBorders>
            <w:noWrap w:val="0"/>
            <w:vAlign w:val="center"/>
          </w:tcPr>
          <w:p w14:paraId="1E3A39A3">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税金</w:t>
            </w:r>
          </w:p>
        </w:tc>
      </w:tr>
      <w:tr w14:paraId="2263D571">
        <w:tblPrEx>
          <w:tblCellMar>
            <w:top w:w="0" w:type="dxa"/>
            <w:left w:w="108" w:type="dxa"/>
            <w:bottom w:w="0" w:type="dxa"/>
            <w:right w:w="108" w:type="dxa"/>
          </w:tblCellMar>
        </w:tblPrEx>
        <w:trPr>
          <w:trHeight w:val="540" w:hRule="atLeast"/>
        </w:trPr>
        <w:tc>
          <w:tcPr>
            <w:tcW w:w="1187" w:type="dxa"/>
            <w:vMerge w:val="continue"/>
            <w:tcBorders>
              <w:top w:val="nil"/>
              <w:left w:val="single" w:color="auto" w:sz="8" w:space="0"/>
              <w:bottom w:val="single" w:color="000000" w:sz="4" w:space="0"/>
              <w:right w:val="single" w:color="auto" w:sz="4" w:space="0"/>
            </w:tcBorders>
            <w:noWrap w:val="0"/>
            <w:vAlign w:val="center"/>
          </w:tcPr>
          <w:p w14:paraId="28A16C8B">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p>
        </w:tc>
        <w:tc>
          <w:tcPr>
            <w:tcW w:w="600" w:type="dxa"/>
            <w:tcBorders>
              <w:top w:val="nil"/>
              <w:left w:val="nil"/>
              <w:bottom w:val="single" w:color="auto" w:sz="4" w:space="0"/>
              <w:right w:val="single" w:color="auto" w:sz="4" w:space="0"/>
            </w:tcBorders>
            <w:noWrap w:val="0"/>
            <w:vAlign w:val="center"/>
          </w:tcPr>
          <w:p w14:paraId="67F5F69A">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基本费</w:t>
            </w:r>
          </w:p>
        </w:tc>
        <w:tc>
          <w:tcPr>
            <w:tcW w:w="938" w:type="dxa"/>
            <w:tcBorders>
              <w:top w:val="nil"/>
              <w:left w:val="nil"/>
              <w:bottom w:val="single" w:color="auto" w:sz="4" w:space="0"/>
              <w:right w:val="single" w:color="auto" w:sz="4" w:space="0"/>
            </w:tcBorders>
            <w:noWrap w:val="0"/>
            <w:vAlign w:val="center"/>
          </w:tcPr>
          <w:p w14:paraId="298D94E3">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省级标化增加费</w:t>
            </w:r>
          </w:p>
        </w:tc>
        <w:tc>
          <w:tcPr>
            <w:tcW w:w="962" w:type="dxa"/>
            <w:tcBorders>
              <w:top w:val="nil"/>
              <w:left w:val="nil"/>
              <w:bottom w:val="single" w:color="auto" w:sz="4" w:space="0"/>
              <w:right w:val="single" w:color="auto" w:sz="4" w:space="0"/>
            </w:tcBorders>
            <w:noWrap w:val="0"/>
            <w:vAlign w:val="center"/>
          </w:tcPr>
          <w:p w14:paraId="32E6CDF0">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扬尘污染防治增加费</w:t>
            </w:r>
          </w:p>
        </w:tc>
        <w:tc>
          <w:tcPr>
            <w:tcW w:w="963" w:type="dxa"/>
            <w:tcBorders>
              <w:top w:val="nil"/>
              <w:left w:val="nil"/>
              <w:bottom w:val="single" w:color="auto" w:sz="4" w:space="0"/>
              <w:right w:val="single" w:color="auto" w:sz="4" w:space="0"/>
            </w:tcBorders>
            <w:noWrap w:val="0"/>
            <w:vAlign w:val="center"/>
          </w:tcPr>
          <w:p w14:paraId="3BBD9CC0">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   保护税</w:t>
            </w:r>
          </w:p>
        </w:tc>
        <w:tc>
          <w:tcPr>
            <w:tcW w:w="962" w:type="dxa"/>
            <w:tcBorders>
              <w:top w:val="nil"/>
              <w:left w:val="nil"/>
              <w:bottom w:val="single" w:color="auto" w:sz="4" w:space="0"/>
              <w:right w:val="single" w:color="auto" w:sz="4" w:space="0"/>
            </w:tcBorders>
            <w:noWrap w:val="0"/>
            <w:vAlign w:val="center"/>
          </w:tcPr>
          <w:p w14:paraId="22AE38F6">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  保险费</w:t>
            </w:r>
          </w:p>
        </w:tc>
        <w:tc>
          <w:tcPr>
            <w:tcW w:w="998" w:type="dxa"/>
            <w:tcBorders>
              <w:top w:val="nil"/>
              <w:left w:val="nil"/>
              <w:bottom w:val="single" w:color="auto" w:sz="4" w:space="0"/>
              <w:right w:val="single" w:color="auto" w:sz="4" w:space="0"/>
            </w:tcBorders>
            <w:noWrap w:val="0"/>
            <w:vAlign w:val="center"/>
          </w:tcPr>
          <w:p w14:paraId="51BB24A7">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住房   公积金</w:t>
            </w:r>
          </w:p>
        </w:tc>
        <w:tc>
          <w:tcPr>
            <w:tcW w:w="1965" w:type="dxa"/>
            <w:vMerge w:val="continue"/>
            <w:tcBorders>
              <w:top w:val="nil"/>
              <w:left w:val="single" w:color="auto" w:sz="4" w:space="0"/>
              <w:bottom w:val="single" w:color="auto" w:sz="4" w:space="0"/>
              <w:right w:val="single" w:color="auto" w:sz="8" w:space="0"/>
            </w:tcBorders>
            <w:noWrap w:val="0"/>
            <w:vAlign w:val="center"/>
          </w:tcPr>
          <w:p w14:paraId="1814D32C">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p>
        </w:tc>
      </w:tr>
      <w:tr w14:paraId="7CF85132">
        <w:tblPrEx>
          <w:tblCellMar>
            <w:top w:w="0" w:type="dxa"/>
            <w:left w:w="108" w:type="dxa"/>
            <w:bottom w:w="0" w:type="dxa"/>
            <w:right w:w="108" w:type="dxa"/>
          </w:tblCellMar>
        </w:tblPrEx>
        <w:trPr>
          <w:trHeight w:val="1612" w:hRule="atLeast"/>
        </w:trPr>
        <w:tc>
          <w:tcPr>
            <w:tcW w:w="1187" w:type="dxa"/>
            <w:tcBorders>
              <w:top w:val="nil"/>
              <w:left w:val="single" w:color="auto" w:sz="8" w:space="0"/>
              <w:bottom w:val="single" w:color="auto" w:sz="8" w:space="0"/>
              <w:right w:val="single" w:color="auto" w:sz="4" w:space="0"/>
            </w:tcBorders>
            <w:noWrap w:val="0"/>
            <w:vAlign w:val="center"/>
          </w:tcPr>
          <w:p w14:paraId="70259D99">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计算基础</w:t>
            </w:r>
          </w:p>
        </w:tc>
        <w:tc>
          <w:tcPr>
            <w:tcW w:w="2500" w:type="dxa"/>
            <w:gridSpan w:val="3"/>
            <w:tcBorders>
              <w:top w:val="single" w:color="auto" w:sz="4" w:space="0"/>
              <w:left w:val="nil"/>
              <w:bottom w:val="single" w:color="auto" w:sz="8" w:space="0"/>
              <w:right w:val="single" w:color="auto" w:sz="4" w:space="0"/>
            </w:tcBorders>
            <w:noWrap w:val="0"/>
            <w:vAlign w:val="center"/>
          </w:tcPr>
          <w:p w14:paraId="100D6C4B">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分部分项工程费</w:t>
            </w:r>
          </w:p>
          <w:p w14:paraId="22D5484F">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+单价措施项目费-除税工程设备费</w:t>
            </w:r>
          </w:p>
        </w:tc>
        <w:tc>
          <w:tcPr>
            <w:tcW w:w="2923" w:type="dxa"/>
            <w:gridSpan w:val="3"/>
            <w:tcBorders>
              <w:top w:val="single" w:color="auto" w:sz="4" w:space="0"/>
              <w:left w:val="nil"/>
              <w:bottom w:val="single" w:color="auto" w:sz="8" w:space="0"/>
              <w:right w:val="single" w:color="auto" w:sz="4" w:space="0"/>
            </w:tcBorders>
            <w:noWrap w:val="0"/>
            <w:vAlign w:val="center"/>
          </w:tcPr>
          <w:p w14:paraId="6E38232D">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分部分项工程费+措施项目费+其他项目费－除税工程设备费</w:t>
            </w:r>
          </w:p>
        </w:tc>
        <w:tc>
          <w:tcPr>
            <w:tcW w:w="1965" w:type="dxa"/>
            <w:tcBorders>
              <w:top w:val="nil"/>
              <w:left w:val="nil"/>
              <w:bottom w:val="single" w:color="auto" w:sz="8" w:space="0"/>
              <w:right w:val="single" w:color="auto" w:sz="8" w:space="0"/>
            </w:tcBorders>
            <w:noWrap w:val="0"/>
            <w:vAlign w:val="center"/>
          </w:tcPr>
          <w:p w14:paraId="67EAB17E">
            <w:pPr>
              <w:keepNext w:val="0"/>
              <w:keepLines w:val="0"/>
              <w:pageBreakBefore w:val="0"/>
              <w:widowControl/>
              <w:kinsoku/>
              <w:wordWrap/>
              <w:overflowPunct/>
              <w:topLinePunct w:val="0"/>
              <w:bidi w:val="0"/>
              <w:adjustRightIn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分部分项工程费+措施项目费+其他项目费+规费-(除税甲供材料费＋除税甲供设备费)/1.01</w:t>
            </w:r>
          </w:p>
        </w:tc>
      </w:tr>
      <w:tr w14:paraId="3687761F">
        <w:tblPrEx>
          <w:tblCellMar>
            <w:top w:w="0" w:type="dxa"/>
            <w:left w:w="108" w:type="dxa"/>
            <w:bottom w:w="0" w:type="dxa"/>
            <w:right w:w="108" w:type="dxa"/>
          </w:tblCellMar>
        </w:tblPrEx>
        <w:trPr>
          <w:trHeight w:val="613" w:hRule="atLeast"/>
        </w:trPr>
        <w:tc>
          <w:tcPr>
            <w:tcW w:w="1187" w:type="dxa"/>
            <w:tcBorders>
              <w:top w:val="single" w:color="auto" w:sz="8" w:space="0"/>
              <w:left w:val="single" w:color="auto" w:sz="8" w:space="0"/>
              <w:bottom w:val="single" w:color="auto" w:sz="8" w:space="0"/>
              <w:right w:val="single" w:color="auto" w:sz="8" w:space="0"/>
            </w:tcBorders>
            <w:noWrap w:val="0"/>
            <w:vAlign w:val="center"/>
          </w:tcPr>
          <w:p w14:paraId="1EE0D479">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土建工程</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378E7E5B">
            <w:pPr>
              <w:keepNext w:val="0"/>
              <w:keepLines w:val="0"/>
              <w:pageBreakBefore w:val="0"/>
              <w:kinsoku/>
              <w:wordWrap/>
              <w:overflowPunct/>
              <w:topLinePunct w:val="0"/>
              <w:bidi w:val="0"/>
              <w:adjustRightInd/>
              <w:spacing w:line="48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938" w:type="dxa"/>
            <w:tcBorders>
              <w:top w:val="single" w:color="auto" w:sz="8" w:space="0"/>
              <w:left w:val="single" w:color="auto" w:sz="8" w:space="0"/>
              <w:bottom w:val="single" w:color="auto" w:sz="8" w:space="0"/>
              <w:right w:val="single" w:color="auto" w:sz="8" w:space="0"/>
            </w:tcBorders>
            <w:noWrap w:val="0"/>
            <w:vAlign w:val="center"/>
          </w:tcPr>
          <w:p w14:paraId="6384BE00">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p>
        </w:tc>
        <w:tc>
          <w:tcPr>
            <w:tcW w:w="962" w:type="dxa"/>
            <w:tcBorders>
              <w:top w:val="single" w:color="auto" w:sz="8" w:space="0"/>
              <w:left w:val="single" w:color="auto" w:sz="8" w:space="0"/>
              <w:bottom w:val="single" w:color="auto" w:sz="8" w:space="0"/>
              <w:right w:val="single" w:color="auto" w:sz="8" w:space="0"/>
            </w:tcBorders>
            <w:noWrap w:val="0"/>
            <w:vAlign w:val="center"/>
          </w:tcPr>
          <w:p w14:paraId="60683D25">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w:t>
            </w:r>
          </w:p>
        </w:tc>
        <w:tc>
          <w:tcPr>
            <w:tcW w:w="963" w:type="dxa"/>
            <w:tcBorders>
              <w:top w:val="single" w:color="auto" w:sz="8" w:space="0"/>
              <w:left w:val="single" w:color="auto" w:sz="8" w:space="0"/>
              <w:bottom w:val="single" w:color="auto" w:sz="8" w:space="0"/>
              <w:right w:val="single" w:color="auto" w:sz="8" w:space="0"/>
            </w:tcBorders>
            <w:noWrap w:val="0"/>
            <w:vAlign w:val="center"/>
          </w:tcPr>
          <w:p w14:paraId="19EED329">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p>
        </w:tc>
        <w:tc>
          <w:tcPr>
            <w:tcW w:w="962" w:type="dxa"/>
            <w:tcBorders>
              <w:top w:val="single" w:color="auto" w:sz="8" w:space="0"/>
              <w:left w:val="single" w:color="auto" w:sz="8" w:space="0"/>
              <w:bottom w:val="single" w:color="auto" w:sz="8" w:space="0"/>
              <w:right w:val="single" w:color="auto" w:sz="8" w:space="0"/>
            </w:tcBorders>
            <w:noWrap w:val="0"/>
            <w:vAlign w:val="center"/>
          </w:tcPr>
          <w:p w14:paraId="33D16F8D">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234CBD36">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53</w:t>
            </w:r>
          </w:p>
        </w:tc>
        <w:tc>
          <w:tcPr>
            <w:tcW w:w="1965" w:type="dxa"/>
            <w:tcBorders>
              <w:top w:val="single" w:color="auto" w:sz="8" w:space="0"/>
              <w:left w:val="single" w:color="auto" w:sz="8" w:space="0"/>
              <w:bottom w:val="single" w:color="auto" w:sz="8" w:space="0"/>
              <w:right w:val="single" w:color="auto" w:sz="8" w:space="0"/>
            </w:tcBorders>
            <w:noWrap w:val="0"/>
            <w:vAlign w:val="center"/>
          </w:tcPr>
          <w:p w14:paraId="684ACDD8">
            <w:pPr>
              <w:keepNext w:val="0"/>
              <w:keepLines w:val="0"/>
              <w:pageBreakBefore w:val="0"/>
              <w:kinsoku/>
              <w:wordWrap/>
              <w:overflowPunct/>
              <w:topLinePunct w:val="0"/>
              <w:bidi w:val="0"/>
              <w:adjustRightInd/>
              <w:spacing w:line="48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r>
    </w:tbl>
    <w:p w14:paraId="7DC5D1B5">
      <w:pPr>
        <w:keepNext w:val="0"/>
        <w:keepLines w:val="0"/>
        <w:pageBreakBefore w:val="0"/>
        <w:kinsoku/>
        <w:wordWrap/>
        <w:overflowPunct/>
        <w:topLinePunct w:val="0"/>
        <w:bidi w:val="0"/>
        <w:adjustRightIn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安全文明施工省级增加费，结算时凭标准化示范工地文件按费用定额的规定计取。工程若达不到合同约定标准时，计取费用按锡建建市（2018）17号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关于贯彻省住房城乡建设厅关于调整建设工程按质论价等费用计取办法的通知</w:t>
      </w:r>
      <w:r>
        <w:rPr>
          <w:rFonts w:hint="eastAsia" w:ascii="宋体" w:hAnsi="宋体" w:eastAsia="宋体" w:cs="宋体"/>
          <w:color w:val="auto"/>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C4DE"/>
    <w:multiLevelType w:val="singleLevel"/>
    <w:tmpl w:val="979EC4DE"/>
    <w:lvl w:ilvl="0" w:tentative="0">
      <w:start w:val="1"/>
      <w:numFmt w:val="chineseCounting"/>
      <w:suff w:val="nothing"/>
      <w:lvlText w:val="%1、"/>
      <w:lvlJc w:val="left"/>
      <w:pPr>
        <w:ind w:left="590" w:firstLine="0"/>
      </w:pPr>
      <w:rPr>
        <w:rFonts w:hint="eastAsia"/>
      </w:rPr>
    </w:lvl>
  </w:abstractNum>
  <w:abstractNum w:abstractNumId="1">
    <w:nsid w:val="38DEE508"/>
    <w:multiLevelType w:val="singleLevel"/>
    <w:tmpl w:val="38DEE5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jcxMjY3YzQ0NTE2Y2JjZTQ3YjRkNDEyNzI1ZTgifQ=="/>
  </w:docVars>
  <w:rsids>
    <w:rsidRoot w:val="6C6F55A5"/>
    <w:rsid w:val="003550AC"/>
    <w:rsid w:val="03842523"/>
    <w:rsid w:val="03906A9D"/>
    <w:rsid w:val="045F377B"/>
    <w:rsid w:val="04D2011A"/>
    <w:rsid w:val="05503A5D"/>
    <w:rsid w:val="071E3109"/>
    <w:rsid w:val="07684D07"/>
    <w:rsid w:val="07FD63CE"/>
    <w:rsid w:val="08BF0273"/>
    <w:rsid w:val="096E162E"/>
    <w:rsid w:val="09914E9A"/>
    <w:rsid w:val="0AB003D0"/>
    <w:rsid w:val="0AB91107"/>
    <w:rsid w:val="0AFC48AC"/>
    <w:rsid w:val="0BA92DF2"/>
    <w:rsid w:val="0BE233B5"/>
    <w:rsid w:val="0CB45818"/>
    <w:rsid w:val="0D1E0B42"/>
    <w:rsid w:val="0FCA0758"/>
    <w:rsid w:val="10704E41"/>
    <w:rsid w:val="10E01064"/>
    <w:rsid w:val="14274635"/>
    <w:rsid w:val="14A85B8A"/>
    <w:rsid w:val="14E472DE"/>
    <w:rsid w:val="1573694A"/>
    <w:rsid w:val="15847EF8"/>
    <w:rsid w:val="16981C16"/>
    <w:rsid w:val="16AB5C70"/>
    <w:rsid w:val="17B61840"/>
    <w:rsid w:val="17E24F42"/>
    <w:rsid w:val="182834AC"/>
    <w:rsid w:val="18AA2B26"/>
    <w:rsid w:val="193440BB"/>
    <w:rsid w:val="19355DAA"/>
    <w:rsid w:val="1B627A1D"/>
    <w:rsid w:val="1BC9669C"/>
    <w:rsid w:val="1C751326"/>
    <w:rsid w:val="1D59107F"/>
    <w:rsid w:val="1D872BCD"/>
    <w:rsid w:val="1DEF4A01"/>
    <w:rsid w:val="1EA97F80"/>
    <w:rsid w:val="1F3E5007"/>
    <w:rsid w:val="1F91362D"/>
    <w:rsid w:val="1FA616CA"/>
    <w:rsid w:val="20146634"/>
    <w:rsid w:val="209B6C81"/>
    <w:rsid w:val="21087706"/>
    <w:rsid w:val="2111387D"/>
    <w:rsid w:val="230C7634"/>
    <w:rsid w:val="247D50F0"/>
    <w:rsid w:val="25A206E7"/>
    <w:rsid w:val="25A85D8E"/>
    <w:rsid w:val="264E4D45"/>
    <w:rsid w:val="26BA1A87"/>
    <w:rsid w:val="274F1B2F"/>
    <w:rsid w:val="27B801ED"/>
    <w:rsid w:val="283635EF"/>
    <w:rsid w:val="289933AC"/>
    <w:rsid w:val="29312005"/>
    <w:rsid w:val="296333FE"/>
    <w:rsid w:val="2A4974F3"/>
    <w:rsid w:val="2A762928"/>
    <w:rsid w:val="2A9F1E30"/>
    <w:rsid w:val="2B406E77"/>
    <w:rsid w:val="2B6C7C6C"/>
    <w:rsid w:val="2D12039F"/>
    <w:rsid w:val="2D1A60F9"/>
    <w:rsid w:val="2DCC0D7B"/>
    <w:rsid w:val="2F2048A2"/>
    <w:rsid w:val="2F860BD0"/>
    <w:rsid w:val="33272FCF"/>
    <w:rsid w:val="348D0A96"/>
    <w:rsid w:val="34DB19BE"/>
    <w:rsid w:val="34E42621"/>
    <w:rsid w:val="35907073"/>
    <w:rsid w:val="37BA3B0D"/>
    <w:rsid w:val="38457246"/>
    <w:rsid w:val="38D310BB"/>
    <w:rsid w:val="39413F8E"/>
    <w:rsid w:val="3A1337B9"/>
    <w:rsid w:val="3A974E83"/>
    <w:rsid w:val="3ACA665F"/>
    <w:rsid w:val="3B6A511E"/>
    <w:rsid w:val="3CC62AE0"/>
    <w:rsid w:val="3CC8573C"/>
    <w:rsid w:val="3F4F5180"/>
    <w:rsid w:val="3FE47979"/>
    <w:rsid w:val="3FE61A79"/>
    <w:rsid w:val="40705F86"/>
    <w:rsid w:val="417B430D"/>
    <w:rsid w:val="42E4784D"/>
    <w:rsid w:val="442838A3"/>
    <w:rsid w:val="46951786"/>
    <w:rsid w:val="46B02CAB"/>
    <w:rsid w:val="48C251D8"/>
    <w:rsid w:val="48CF2E54"/>
    <w:rsid w:val="4A9935AB"/>
    <w:rsid w:val="4B3119F4"/>
    <w:rsid w:val="4B391A1F"/>
    <w:rsid w:val="4B7821F2"/>
    <w:rsid w:val="4B7D0AC3"/>
    <w:rsid w:val="4C6103C6"/>
    <w:rsid w:val="4D8C315E"/>
    <w:rsid w:val="4F9F06A7"/>
    <w:rsid w:val="4FBD3D43"/>
    <w:rsid w:val="52E25A89"/>
    <w:rsid w:val="5308609E"/>
    <w:rsid w:val="531B5950"/>
    <w:rsid w:val="532D11DF"/>
    <w:rsid w:val="538C5F06"/>
    <w:rsid w:val="53A64230"/>
    <w:rsid w:val="54BB2F47"/>
    <w:rsid w:val="55324003"/>
    <w:rsid w:val="55672018"/>
    <w:rsid w:val="55A97243"/>
    <w:rsid w:val="55D31741"/>
    <w:rsid w:val="57CF6775"/>
    <w:rsid w:val="58751D62"/>
    <w:rsid w:val="589E6690"/>
    <w:rsid w:val="5980475F"/>
    <w:rsid w:val="59A23A35"/>
    <w:rsid w:val="5A627604"/>
    <w:rsid w:val="5AB576A7"/>
    <w:rsid w:val="5AF85ECE"/>
    <w:rsid w:val="5B2E56C5"/>
    <w:rsid w:val="5BC53434"/>
    <w:rsid w:val="5BEF1D93"/>
    <w:rsid w:val="5C4B671C"/>
    <w:rsid w:val="5D6B37EB"/>
    <w:rsid w:val="5DC001E7"/>
    <w:rsid w:val="5DF426F5"/>
    <w:rsid w:val="5E023EAE"/>
    <w:rsid w:val="5F38351A"/>
    <w:rsid w:val="6289159C"/>
    <w:rsid w:val="62B441EF"/>
    <w:rsid w:val="632D722C"/>
    <w:rsid w:val="639E315A"/>
    <w:rsid w:val="63EE0458"/>
    <w:rsid w:val="63EE7738"/>
    <w:rsid w:val="640A5204"/>
    <w:rsid w:val="65A31E21"/>
    <w:rsid w:val="66326DE1"/>
    <w:rsid w:val="67515045"/>
    <w:rsid w:val="68F6703B"/>
    <w:rsid w:val="696A5375"/>
    <w:rsid w:val="6AA9254D"/>
    <w:rsid w:val="6AAC4229"/>
    <w:rsid w:val="6C6F55A5"/>
    <w:rsid w:val="6CE90C2A"/>
    <w:rsid w:val="6D3A4ED9"/>
    <w:rsid w:val="6DD92104"/>
    <w:rsid w:val="6E066070"/>
    <w:rsid w:val="6F511284"/>
    <w:rsid w:val="704F1DB6"/>
    <w:rsid w:val="7078637A"/>
    <w:rsid w:val="70C12830"/>
    <w:rsid w:val="71F31B1A"/>
    <w:rsid w:val="7440091B"/>
    <w:rsid w:val="74C56C57"/>
    <w:rsid w:val="768865A9"/>
    <w:rsid w:val="787710B8"/>
    <w:rsid w:val="7A4318B4"/>
    <w:rsid w:val="7B803FD8"/>
    <w:rsid w:val="7BA51526"/>
    <w:rsid w:val="7C1F5441"/>
    <w:rsid w:val="7CC6771F"/>
    <w:rsid w:val="7D537661"/>
    <w:rsid w:val="7E8527D9"/>
    <w:rsid w:val="7EA62846"/>
    <w:rsid w:val="7F8F09A8"/>
    <w:rsid w:val="7FB1411B"/>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4"/>
    <w:basedOn w:val="1"/>
    <w:next w:val="1"/>
    <w:autoRedefine/>
    <w:qFormat/>
    <w:uiPriority w:val="1"/>
    <w:pPr>
      <w:ind w:left="300"/>
      <w:jc w:val="center"/>
      <w:outlineLvl w:val="3"/>
    </w:pPr>
    <w:rPr>
      <w:sz w:val="28"/>
      <w:szCs w:val="28"/>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100" w:firstLineChars="100"/>
    </w:pPr>
  </w:style>
  <w:style w:type="paragraph" w:styleId="3">
    <w:name w:val="Body Text"/>
    <w:basedOn w:val="1"/>
    <w:next w:val="4"/>
    <w:autoRedefine/>
    <w:qFormat/>
    <w:uiPriority w:val="99"/>
    <w:pPr>
      <w:spacing w:after="120"/>
    </w:pPr>
    <w:rPr>
      <w:rFonts w:ascii="Times New Roman" w:hAnsi="Times New Roman" w:cs="Times New Roman"/>
      <w:kern w:val="0"/>
      <w:sz w:val="24"/>
    </w:rPr>
  </w:style>
  <w:style w:type="paragraph" w:styleId="4">
    <w:name w:val="toc 8"/>
    <w:basedOn w:val="1"/>
    <w:next w:val="1"/>
    <w:autoRedefine/>
    <w:qFormat/>
    <w:uiPriority w:val="39"/>
    <w:pPr>
      <w:widowControl/>
      <w:overflowPunct w:val="0"/>
      <w:autoSpaceDE w:val="0"/>
      <w:autoSpaceDN w:val="0"/>
      <w:adjustRightInd w:val="0"/>
      <w:spacing w:line="360" w:lineRule="auto"/>
      <w:ind w:left="1960"/>
      <w:jc w:val="left"/>
      <w:textAlignment w:val="baseline"/>
    </w:pPr>
    <w:rPr>
      <w:rFonts w:ascii="Times New Roman" w:hAnsi="Times New Roman" w:eastAsia="宋体" w:cs="Times New Roman"/>
      <w:kern w:val="0"/>
      <w:sz w:val="18"/>
      <w:szCs w:val="18"/>
    </w:rPr>
  </w:style>
  <w:style w:type="paragraph" w:styleId="7">
    <w:name w:val="Document Map"/>
    <w:basedOn w:val="1"/>
    <w:link w:val="20"/>
    <w:autoRedefine/>
    <w:qFormat/>
    <w:uiPriority w:val="0"/>
    <w:pPr>
      <w:shd w:val="clear" w:color="auto" w:fill="000080"/>
    </w:pPr>
  </w:style>
  <w:style w:type="paragraph" w:styleId="8">
    <w:name w:val="index 4"/>
    <w:basedOn w:val="1"/>
    <w:next w:val="1"/>
    <w:autoRedefine/>
    <w:qFormat/>
    <w:uiPriority w:val="0"/>
    <w:pPr>
      <w:ind w:left="600" w:leftChars="600"/>
    </w:pPr>
  </w:style>
  <w:style w:type="paragraph" w:styleId="9">
    <w:name w:val="Plain Text"/>
    <w:basedOn w:val="1"/>
    <w:link w:val="2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0">
    <w:name w:val="footer"/>
    <w:basedOn w:val="1"/>
    <w:link w:val="18"/>
    <w:autoRedefine/>
    <w:qFormat/>
    <w:uiPriority w:val="0"/>
    <w:pPr>
      <w:tabs>
        <w:tab w:val="center" w:pos="4153"/>
        <w:tab w:val="right" w:pos="8306"/>
      </w:tabs>
      <w:snapToGrid w:val="0"/>
      <w:jc w:val="left"/>
    </w:pPr>
    <w:rPr>
      <w:sz w:val="18"/>
    </w:rPr>
  </w:style>
  <w:style w:type="paragraph" w:styleId="11">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1 Char"/>
    <w:basedOn w:val="15"/>
    <w:link w:val="5"/>
    <w:autoRedefine/>
    <w:qFormat/>
    <w:uiPriority w:val="0"/>
    <w:rPr>
      <w:b/>
      <w:bCs/>
    </w:rPr>
  </w:style>
  <w:style w:type="character" w:customStyle="1" w:styleId="17">
    <w:name w:val="样式1 Char"/>
    <w:basedOn w:val="15"/>
    <w:qFormat/>
    <w:uiPriority w:val="0"/>
    <w:rPr>
      <w:b/>
      <w:bCs/>
    </w:rPr>
  </w:style>
  <w:style w:type="character" w:customStyle="1" w:styleId="18">
    <w:name w:val="页脚 Char"/>
    <w:basedOn w:val="15"/>
    <w:link w:val="10"/>
    <w:autoRedefine/>
    <w:qFormat/>
    <w:uiPriority w:val="0"/>
  </w:style>
  <w:style w:type="character" w:customStyle="1" w:styleId="19">
    <w:name w:val="页眉 Char"/>
    <w:basedOn w:val="15"/>
    <w:link w:val="11"/>
    <w:qFormat/>
    <w:uiPriority w:val="0"/>
  </w:style>
  <w:style w:type="character" w:customStyle="1" w:styleId="20">
    <w:name w:val="文档结构图 Char"/>
    <w:basedOn w:val="15"/>
    <w:link w:val="7"/>
    <w:autoRedefine/>
    <w:qFormat/>
    <w:uiPriority w:val="0"/>
    <w:rPr>
      <w:rFonts w:hint="eastAsia" w:ascii="宋体" w:hAnsi="宋体" w:eastAsia="宋体" w:cs="宋体"/>
      <w:kern w:val="2"/>
      <w:sz w:val="18"/>
      <w:szCs w:val="18"/>
    </w:rPr>
  </w:style>
  <w:style w:type="character" w:customStyle="1" w:styleId="21">
    <w:name w:val="纯文本 Char"/>
    <w:basedOn w:val="15"/>
    <w:link w:val="9"/>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2368</Characters>
  <Lines>0</Lines>
  <Paragraphs>0</Paragraphs>
  <TotalTime>283</TotalTime>
  <ScaleCrop>false</ScaleCrop>
  <LinksUpToDate>false</LinksUpToDate>
  <CharactersWithSpaces>2383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2021-01-07T10:30:00Z</dcterms:created>
  <dc:creator>cn.cheng</dc:creator>
  <cp:lastModifiedBy>WPS_1676959492</cp:lastModifiedBy>
  <cp:lastPrinted>2021-02-22T02:02:00Z</cp:lastPrinted>
  <dcterms:modified xsi:type="dcterms:W3CDTF">2025-02-10T05:46:02Z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C043E2380AA44E119F9E7179CA277E28</vt:lpwstr>
  </property>
  <property fmtid="{D5CDD505-2E9C-101B-9397-08002B2CF9AE}" pid="4" name="KSOTemplateDocerSaveRecord">
    <vt:lpwstr>eyJoZGlkIjoiYTRlYjFkMjdkYTE0NmY5MTk4N2I2ZGQ1ZDM5NGM1OGMiLCJ1c2VySWQiOiIxNDc0NzI4MTcxIn0=</vt:lpwstr>
  </property>
</Properties>
</file>